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rPr>
          <w:rFonts w:ascii="Arial" w:hAnsi="Arial"/>
          <w:color w:val="000000"/>
          <w:sz w:val="50"/>
        </w:rPr>
        <w:t>Diaspora Health Network insurer partnership</w:t>
      </w:r>
    </w:p>
    <w:p>
      <w:pPr>
        <w:keepLines/>
        <w:spacing w:after="140"/>
      </w:pPr>
      <w:r>
        <w:rPr>
          <w:rFonts w:ascii="Arial" w:hAnsi="Arial"/>
        </w:rPr>
        <w:t>Insurance company segment | Proposed pilot | 12 October 2026</w:t>
      </w:r>
    </w:p>
    <w:p>
      <w:pPr>
        <w:pStyle w:val="Heading2"/>
        <w:keepNext/>
      </w:pPr>
      <w:r>
        <w:rPr>
          <w:rFonts w:ascii="Arial" w:hAnsi="Arial"/>
          <w:color w:val="000000"/>
        </w:rPr>
        <w:t>Turn preventive benefits into completed care</w:t>
      </w:r>
    </w:p>
    <w:p>
      <w:pPr>
        <w:keepLines/>
        <w:spacing w:after="140"/>
      </w:pPr>
      <w:r>
        <w:rPr>
          <w:rFonts w:ascii="Arial" w:hAnsi="Arial"/>
        </w:rPr>
        <w:t>Diaspora Health Network proposes a measurable partnership to help eligible diaspora members understand their benefits, access recommended preventive services and follow through on care through culturally responsive engagement and consent-based navigation.</w:t>
      </w:r>
    </w:p>
    <w:p>
      <w:pPr>
        <w:pStyle w:val="Heading2"/>
        <w:keepNext/>
      </w:pPr>
      <w:r>
        <w:rPr>
          <w:rFonts w:ascii="Arial" w:hAnsi="Arial"/>
          <w:color w:val="000000"/>
        </w:rPr>
        <w:t>The value to insurers</w:t>
      </w:r>
    </w:p>
    <w:p>
      <w:pPr>
        <w:pStyle w:val="ListBullet"/>
        <w:keepLines/>
        <w:spacing w:after="140"/>
      </w:pPr>
      <w:r>
        <w:rPr>
          <w:rFonts w:ascii="Arial" w:hAnsi="Arial"/>
        </w:rPr>
        <w:t>Member engagement: culturally responsive benefits education through verified community relationships.</w:t>
      </w:r>
    </w:p>
    <w:p>
      <w:pPr>
        <w:pStyle w:val="ListBullet"/>
        <w:keepLines/>
        <w:spacing w:after="140"/>
      </w:pPr>
      <w:r>
        <w:rPr>
          <w:rFonts w:ascii="Arial" w:hAnsi="Arial"/>
        </w:rPr>
        <w:t>Preventive access: consent-based navigation, reminders and support with agreed access barriers within approved provider pathways.</w:t>
      </w:r>
    </w:p>
    <w:p>
      <w:pPr>
        <w:pStyle w:val="ListBullet"/>
        <w:keepLines/>
        <w:spacing w:after="140"/>
      </w:pPr>
      <w:r>
        <w:rPr>
          <w:rFonts w:ascii="Arial" w:hAnsi="Arial"/>
        </w:rPr>
        <w:t>Follow-through: help eligible members take the next appropriate step after screening or referral.</w:t>
      </w:r>
    </w:p>
    <w:p>
      <w:pPr>
        <w:pStyle w:val="ListBullet"/>
        <w:keepLines/>
        <w:spacing w:after="140"/>
      </w:pPr>
      <w:r>
        <w:rPr>
          <w:rFonts w:ascii="Arial" w:hAnsi="Arial"/>
        </w:rPr>
        <w:t>Accountability: measure completion, access barriers, member experience and cost against an agreed baseline.</w:t>
      </w:r>
    </w:p>
    <w:p>
      <w:pPr>
        <w:pStyle w:val="Heading2"/>
        <w:keepNext/>
      </w:pPr>
      <w:r>
        <w:rPr>
          <w:rFonts w:ascii="Arial" w:hAnsi="Arial"/>
          <w:color w:val="000000"/>
        </w:rPr>
        <w:t>The Preventive Access Pilot</w:t>
      </w:r>
    </w:p>
    <w:p>
      <w:pPr>
        <w:keepLines/>
        <w:spacing w:after="140"/>
      </w:pPr>
      <w:r>
        <w:rPr>
          <w:rFonts w:ascii="Arial" w:hAnsi="Arial"/>
        </w:rPr>
        <w:t>A proposed six-month pilot for one eligible member population, one geography and one preventive-care priority, such as recommended colorectal cancer screening. The insurer and DHN would agree the scope, baseline, targets and oversight before activation.</w:t>
      </w:r>
    </w:p>
    <w:p>
      <w:pPr>
        <w:keepLines/>
        <w:spacing w:after="140"/>
      </w:pPr>
      <w:r>
        <w:rPr>
          <w:rFonts w:ascii="Arial" w:hAnsi="Arial"/>
        </w:rPr>
        <w:t>DHN would contribute community outreach, insurer-approved benefits education, consent-based navigation, reminders and aggregate performance reporting.</w:t>
      </w:r>
    </w:p>
    <w:p>
      <w:pPr>
        <w:keepLines/>
        <w:spacing w:after="140"/>
      </w:pPr>
      <w:r>
        <w:rPr>
          <w:rFonts w:ascii="Arial" w:hAnsi="Arial"/>
        </w:rPr>
        <w:t>The insurer would define eligibility, covered services, participating providers, clinical and operational ownership, and outcome verification.</w:t>
      </w:r>
    </w:p>
    <w:p>
      <w:pPr>
        <w:keepLines/>
        <w:spacing w:after="140"/>
      </w:pPr>
      <w:r>
        <w:rPr>
          <w:rFonts w:ascii="Arial" w:hAnsi="Arial"/>
        </w:rPr>
        <w:t>Discuss an insurer pilot with Dr. Oliver Jones at Dr.Oliver.Jones@Diaspora-Health.org.</w:t>
      </w:r>
    </w:p>
    <w:p>
      <w:r>
        <w:rPr>
          <w:rFonts w:ascii="Arial" w:hAnsi="Arial"/>
        </w:rPr>
        <w:br w:type="page"/>
      </w:r>
    </w:p>
    <w:p>
      <w:pPr>
        <w:pStyle w:val="Heading1"/>
        <w:keepNext/>
      </w:pPr>
      <w:r>
        <w:rPr>
          <w:rFonts w:ascii="Arial" w:hAnsi="Arial"/>
          <w:color w:val="000000"/>
        </w:rPr>
        <w:t>Partnership scope and measurement</w:t>
      </w:r>
    </w:p>
    <w:p>
      <w:pPr>
        <w:pStyle w:val="Heading2"/>
        <w:keepNext/>
      </w:pPr>
      <w:r>
        <w:rPr>
          <w:rFonts w:ascii="Arial" w:hAnsi="Arial"/>
          <w:color w:val="000000"/>
        </w:rPr>
        <w:t>Measures agreed before activation</w:t>
      </w:r>
    </w:p>
    <w:p>
      <w:pPr>
        <w:pStyle w:val="ListBullet"/>
        <w:keepLines/>
        <w:spacing w:after="140"/>
      </w:pPr>
      <w:r>
        <w:rPr>
          <w:rFonts w:ascii="Arial" w:hAnsi="Arial"/>
        </w:rPr>
        <w:t>Completion: preventive-service uptake and referral completion, with agreed denominators and baseline comparisons.</w:t>
      </w:r>
    </w:p>
    <w:p>
      <w:pPr>
        <w:pStyle w:val="ListBullet"/>
        <w:keepLines/>
        <w:spacing w:after="140"/>
      </w:pPr>
      <w:r>
        <w:rPr>
          <w:rFonts w:ascii="Arial" w:hAnsi="Arial"/>
        </w:rPr>
        <w:t>Access: time to appointment and unresolved language, transportation, scheduling or benefits-understanding barriers.</w:t>
      </w:r>
    </w:p>
    <w:p>
      <w:pPr>
        <w:pStyle w:val="ListBullet"/>
        <w:keepLines/>
        <w:spacing w:after="140"/>
      </w:pPr>
      <w:r>
        <w:rPr>
          <w:rFonts w:ascii="Arial" w:hAnsi="Arial"/>
        </w:rPr>
        <w:t>Experience: member feedback, participation and continued engagement.</w:t>
      </w:r>
    </w:p>
    <w:p>
      <w:pPr>
        <w:pStyle w:val="ListBullet"/>
        <w:keepLines/>
        <w:spacing w:after="140"/>
      </w:pPr>
      <w:r>
        <w:rPr>
          <w:rFonts w:ascii="Arial" w:hAnsi="Arial"/>
        </w:rPr>
        <w:t>Cost: cost per participant and per completed preventive service. Evaluate utilization and savings only when evidence and the timeframe support them.</w:t>
      </w:r>
    </w:p>
    <w:p>
      <w:pPr>
        <w:pStyle w:val="Heading2"/>
        <w:keepNext/>
      </w:pPr>
      <w:r>
        <w:rPr>
          <w:rFonts w:ascii="Arial" w:hAnsi="Arial"/>
          <w:color w:val="000000"/>
        </w:rPr>
        <w:t>A defined role for each market</w:t>
      </w:r>
    </w:p>
    <w:p>
      <w:pPr>
        <w:keepLines/>
        <w:spacing w:after="140"/>
      </w:pPr>
      <w:r>
        <w:rPr>
          <w:rFonts w:ascii="Arial" w:hAnsi="Arial"/>
        </w:rPr>
        <w:t>U.S. regional plans: preventive-care completion and member engagement among eligible diaspora members. Jamaican insurers: benefits understanding, local navigation and follow-through. International insurers: navigation within explicitly approved coverage territories and provider networks.</w:t>
      </w:r>
    </w:p>
    <w:p>
      <w:pPr>
        <w:pStyle w:val="Heading2"/>
        <w:keepNext/>
      </w:pPr>
      <w:r>
        <w:rPr>
          <w:rFonts w:ascii="Arial" w:hAnsi="Arial"/>
          <w:color w:val="000000"/>
        </w:rPr>
        <w:t>Commercial model</w:t>
      </w:r>
    </w:p>
    <w:p>
      <w:pPr>
        <w:keepLines/>
        <w:spacing w:after="140"/>
      </w:pPr>
      <w:r>
        <w:rPr>
          <w:rFonts w:ascii="Arial" w:hAnsi="Arial"/>
        </w:rPr>
        <w:t>Explore a contracted engagement and navigation service with a defined pilot fee, clear deliverables and agreed performance measures. Community sponsorship can support outreach; a service contract can support recurring member navigation.</w:t>
      </w:r>
    </w:p>
    <w:p>
      <w:pPr>
        <w:pStyle w:val="Heading2"/>
        <w:keepNext/>
      </w:pPr>
      <w:r>
        <w:rPr>
          <w:rFonts w:ascii="Arial" w:hAnsi="Arial"/>
          <w:color w:val="000000"/>
        </w:rPr>
        <w:t>Claims and coverage boundaries</w:t>
      </w:r>
    </w:p>
    <w:p>
      <w:pPr>
        <w:keepLines/>
        <w:spacing w:after="140"/>
      </w:pPr>
      <w:r>
        <w:rPr>
          <w:rFonts w:ascii="Arial" w:hAnsi="Arial"/>
        </w:rPr>
        <w:t>This is a partnership proposal, subject to verification and contracting. Coverage, eligibility, participating providers, clinical oversight and consent would be defined before activation. The Northeast U.S.–Jamaica corridor does not establish cross-border insurance coverage. Targets follow baseline review; savings and other results must be supported by evidence.</w:t>
      </w:r>
    </w:p>
    <w:p>
      <w:pPr>
        <w:keepLines/>
        <w:spacing w:after="140"/>
      </w:pPr>
      <w:r>
        <w:rPr>
          <w:rFonts w:ascii="Arial" w:hAnsi="Arial"/>
        </w:rPr>
        <w:t>No insurer affiliation, endorsement, guaranteed savings or legal obligation to fund DHN is implied. Any quality-improvement expenditure classification requires the insurer’s compliance assessment of the specific contracted activities and funding.</w:t>
      </w:r>
    </w:p>
    <w:p>
      <w:pPr>
        <w:pStyle w:val="Heading2"/>
        <w:keepNext/>
      </w:pPr>
      <w:r>
        <w:rPr>
          <w:rFonts w:ascii="Arial" w:hAnsi="Arial"/>
          <w:color w:val="000000"/>
        </w:rPr>
        <w:t>Discovery meeting</w:t>
      </w:r>
    </w:p>
    <w:p>
      <w:pPr>
        <w:keepLines/>
        <w:spacing w:after="140"/>
      </w:pPr>
      <w:r>
        <w:rPr>
          <w:rFonts w:ascii="Arial" w:hAnsi="Arial"/>
        </w:rPr>
        <w:t>Invite the insurer’s population health, member engagement or health equity team to select a priority population and preventive-care gap, confirm approved pathways and agree an evaluation plan.</w:t>
      </w:r>
    </w:p>
    <w:p>
      <w:pPr>
        <w:keepLines/>
        <w:spacing w:after="140"/>
      </w:pPr>
      <w:r>
        <w:rPr>
          <w:rFonts w:ascii="Arial" w:hAnsi="Arial"/>
        </w:rPr>
        <w:t>Discuss an insurer pilot with Dr. Oliver Jones at Dr.Oliver.Jones@Diaspora-Health.org.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Diaspora Health Network  |  Insurer partnership proposal  | 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